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53D14684" w:rsidR="0094150E" w:rsidRDefault="008F103B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CECANOT-DAF-CM-2020-0181</w:t>
            </w: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0642B706" w14:textId="7F163027" w:rsidR="00FA5759" w:rsidRDefault="008F103B" w:rsidP="008F103B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Adquisición </w:t>
            </w:r>
            <w:proofErr w:type="spellStart"/>
            <w:r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Invanz</w:t>
            </w:r>
            <w:proofErr w:type="spellEnd"/>
            <w:r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</w:t>
            </w:r>
            <w:proofErr w:type="gramStart"/>
            <w:r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I .</w:t>
            </w:r>
            <w:proofErr w:type="gramEnd"/>
            <w:r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V. Frasco</w:t>
            </w: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16A888DA" w:rsidR="00403AC1" w:rsidRDefault="00D201BD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nfasis"/>
          <w:rFonts w:cstheme="minorHAnsi"/>
          <w:i w:val="0"/>
          <w:sz w:val="24"/>
          <w:szCs w:val="24"/>
        </w:rPr>
        <w:t>C</w:t>
      </w:r>
      <w:r w:rsidR="00FA5759">
        <w:rPr>
          <w:rStyle w:val="nfasis"/>
          <w:rFonts w:cstheme="minorHAnsi"/>
          <w:i w:val="0"/>
          <w:sz w:val="24"/>
          <w:szCs w:val="24"/>
        </w:rPr>
        <w:t>OMPRA MENOR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FA5759" w:rsidRPr="008F103B">
        <w:rPr>
          <w:rStyle w:val="nfasis"/>
          <w:rFonts w:cstheme="minorHAnsi"/>
          <w:b/>
          <w:bCs/>
          <w:i w:val="0"/>
          <w:sz w:val="24"/>
          <w:szCs w:val="24"/>
        </w:rPr>
        <w:t xml:space="preserve">Adquisición De </w:t>
      </w:r>
      <w:proofErr w:type="spellStart"/>
      <w:r w:rsidR="008F103B" w:rsidRPr="008F103B">
        <w:rPr>
          <w:rStyle w:val="nfasis"/>
          <w:rFonts w:cstheme="minorHAnsi"/>
          <w:b/>
          <w:bCs/>
          <w:i w:val="0"/>
          <w:sz w:val="24"/>
          <w:szCs w:val="24"/>
        </w:rPr>
        <w:t>Invanz</w:t>
      </w:r>
      <w:proofErr w:type="spellEnd"/>
      <w:r w:rsidR="008F103B" w:rsidRPr="008F103B">
        <w:rPr>
          <w:rStyle w:val="nfasis"/>
          <w:rFonts w:cstheme="minorHAnsi"/>
          <w:b/>
          <w:bCs/>
          <w:i w:val="0"/>
          <w:sz w:val="24"/>
          <w:szCs w:val="24"/>
        </w:rPr>
        <w:t xml:space="preserve"> I g I.V</w:t>
      </w:r>
      <w:r w:rsidR="00FA5759" w:rsidRPr="008F103B">
        <w:rPr>
          <w:rStyle w:val="nfasis"/>
          <w:rFonts w:cstheme="minorHAnsi"/>
          <w:b/>
          <w:bCs/>
          <w:i w:val="0"/>
          <w:sz w:val="24"/>
          <w:szCs w:val="24"/>
        </w:rPr>
        <w:t>.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ver a continuación especificaciones técnicas solicitadas:</w:t>
      </w:r>
    </w:p>
    <w:p w14:paraId="745C07C4" w14:textId="510CEFD8" w:rsidR="00FA5759" w:rsidRDefault="007D14B7" w:rsidP="007D14B7">
      <w:pPr>
        <w:autoSpaceDE w:val="0"/>
        <w:autoSpaceDN w:val="0"/>
        <w:spacing w:line="240" w:lineRule="auto"/>
        <w:jc w:val="center"/>
        <w:rPr>
          <w:rStyle w:val="nfasis"/>
          <w:rFonts w:cstheme="minorHAnsi"/>
          <w:i w:val="0"/>
          <w:sz w:val="24"/>
          <w:szCs w:val="24"/>
        </w:rPr>
      </w:pPr>
      <w:r w:rsidRPr="00747E52">
        <w:rPr>
          <w:rStyle w:val="nfasis"/>
          <w:rFonts w:cstheme="minorHAnsi"/>
          <w:i w:val="0"/>
          <w:sz w:val="24"/>
          <w:szCs w:val="24"/>
        </w:rPr>
        <w:t>FICHA TECNICA</w:t>
      </w:r>
    </w:p>
    <w:p w14:paraId="54A3235D" w14:textId="77777777" w:rsidR="00747E52" w:rsidRPr="00217072" w:rsidRDefault="00747E52" w:rsidP="00747E52">
      <w:pPr>
        <w:ind w:firstLine="708"/>
        <w:jc w:val="center"/>
        <w:rPr>
          <w:rFonts w:ascii="Calibri Light" w:eastAsia="Times New Roman" w:hAnsi="Calibri Light" w:cs="Arial"/>
          <w:b/>
          <w:sz w:val="28"/>
          <w:szCs w:val="28"/>
          <w:u w:val="single"/>
          <w:lang w:val="es-419"/>
        </w:rPr>
      </w:pPr>
    </w:p>
    <w:p w14:paraId="11909981" w14:textId="77777777" w:rsidR="00747E52" w:rsidRPr="00747E52" w:rsidRDefault="00747E52" w:rsidP="00747E52">
      <w:pPr>
        <w:ind w:firstLine="708"/>
        <w:jc w:val="center"/>
        <w:rPr>
          <w:rFonts w:ascii="Calibri Light" w:eastAsia="Times New Roman" w:hAnsi="Calibri Light" w:cs="Arial"/>
          <w:b/>
          <w:sz w:val="28"/>
          <w:szCs w:val="28"/>
        </w:rPr>
      </w:pPr>
      <w:r w:rsidRPr="00747E52">
        <w:rPr>
          <w:rFonts w:ascii="Calibri Light" w:eastAsia="Times New Roman" w:hAnsi="Calibri Light" w:cs="Arial"/>
          <w:b/>
          <w:sz w:val="28"/>
          <w:szCs w:val="28"/>
        </w:rPr>
        <w:t>ERTAPENEM 1 GR</w:t>
      </w:r>
    </w:p>
    <w:p w14:paraId="735DA0DC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-BoldMT"/>
          <w:b/>
          <w:bCs/>
          <w:sz w:val="24"/>
          <w:szCs w:val="24"/>
          <w:lang w:val="es-419"/>
        </w:rPr>
      </w:pPr>
      <w:r w:rsidRPr="00BE3538">
        <w:rPr>
          <w:rFonts w:ascii="Calibri Light" w:hAnsi="Calibri Light" w:cs="TimesNewRomanPS-BoldMT"/>
          <w:b/>
          <w:bCs/>
          <w:sz w:val="24"/>
          <w:szCs w:val="24"/>
          <w:lang w:val="es-419"/>
        </w:rPr>
        <w:t>COMPOSICIÓN CUALITATIVA Y CUANTITATIVA</w:t>
      </w:r>
    </w:p>
    <w:p w14:paraId="69F0FE32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TimesNewRomanPSMT"/>
          <w:sz w:val="24"/>
          <w:szCs w:val="24"/>
          <w:lang w:val="es-419"/>
        </w:rPr>
        <w:t xml:space="preserve">Cada vial contiene 1,0 g de </w:t>
      </w:r>
      <w:proofErr w:type="spellStart"/>
      <w:r w:rsidRPr="00BE3538">
        <w:rPr>
          <w:rFonts w:ascii="Calibri Light" w:hAnsi="Calibri Light" w:cs="TimesNewRomanPSMT"/>
          <w:sz w:val="24"/>
          <w:szCs w:val="24"/>
          <w:lang w:val="es-419"/>
        </w:rPr>
        <w:t>ertapenem</w:t>
      </w:r>
      <w:proofErr w:type="spellEnd"/>
      <w:r w:rsidRPr="00BE3538">
        <w:rPr>
          <w:rFonts w:ascii="Calibri Light" w:hAnsi="Calibri Light" w:cs="TimesNewRomanPSMT"/>
          <w:sz w:val="24"/>
          <w:szCs w:val="24"/>
          <w:lang w:val="es-419"/>
        </w:rPr>
        <w:t>.</w:t>
      </w:r>
    </w:p>
    <w:p w14:paraId="5D54C21E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TimesNewRomanPSMT"/>
          <w:sz w:val="24"/>
          <w:szCs w:val="24"/>
          <w:lang w:val="es-419"/>
        </w:rPr>
        <w:t>Excipiente con efecto conocido</w:t>
      </w:r>
    </w:p>
    <w:p w14:paraId="17A7DFB4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TimesNewRomanPSMT"/>
          <w:sz w:val="24"/>
          <w:szCs w:val="24"/>
          <w:lang w:val="es-419"/>
        </w:rPr>
        <w:t>Cada dosis de 1,0 g contiene aproximadamente 6,0 mEq de sodio (aproximadamente 137 mg).</w:t>
      </w:r>
    </w:p>
    <w:p w14:paraId="1E3DB7F6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</w:p>
    <w:p w14:paraId="40C71B5A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-BoldMT"/>
          <w:b/>
          <w:bCs/>
          <w:sz w:val="24"/>
          <w:szCs w:val="24"/>
          <w:lang w:val="es-419"/>
        </w:rPr>
      </w:pPr>
      <w:r w:rsidRPr="00BE3538">
        <w:rPr>
          <w:rFonts w:ascii="Calibri Light" w:hAnsi="Calibri Light" w:cs="TimesNewRomanPS-BoldMT"/>
          <w:b/>
          <w:bCs/>
          <w:sz w:val="24"/>
          <w:szCs w:val="24"/>
          <w:lang w:val="es-419"/>
        </w:rPr>
        <w:t>Lista de excipientes</w:t>
      </w:r>
    </w:p>
    <w:p w14:paraId="3171345F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TimesNewRomanPSMT"/>
          <w:sz w:val="24"/>
          <w:szCs w:val="24"/>
          <w:lang w:val="es-419"/>
        </w:rPr>
        <w:t>Bicarbonato sódico (E500)</w:t>
      </w:r>
    </w:p>
    <w:p w14:paraId="5EF2F0D5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TimesNewRomanPSMT"/>
          <w:sz w:val="24"/>
          <w:szCs w:val="24"/>
          <w:lang w:val="es-419"/>
        </w:rPr>
        <w:t>Hidróxido sódico (E524) para ajustar el pH a 7,5</w:t>
      </w:r>
    </w:p>
    <w:p w14:paraId="290E10CB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</w:p>
    <w:p w14:paraId="1BA7076D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TimesNewRomanPS-ItalicMT"/>
          <w:b/>
          <w:iCs/>
          <w:sz w:val="24"/>
          <w:szCs w:val="24"/>
          <w:lang w:val="es-419"/>
        </w:rPr>
        <w:t>Administración</w:t>
      </w:r>
      <w:r w:rsidRPr="00BE3538">
        <w:rPr>
          <w:rFonts w:ascii="Calibri Light" w:hAnsi="Calibri Light" w:cs="TimesNewRomanPS-ItalicMT"/>
          <w:iCs/>
          <w:sz w:val="24"/>
          <w:szCs w:val="24"/>
          <w:lang w:val="es-419"/>
        </w:rPr>
        <w:t>: por vía intravenosa</w:t>
      </w:r>
    </w:p>
    <w:p w14:paraId="71D4A59B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-BoldMT"/>
          <w:b/>
          <w:bCs/>
          <w:sz w:val="24"/>
          <w:szCs w:val="24"/>
          <w:lang w:val="es-419"/>
        </w:rPr>
      </w:pPr>
    </w:p>
    <w:p w14:paraId="05E21051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-BoldMT"/>
          <w:b/>
          <w:bCs/>
          <w:sz w:val="24"/>
          <w:szCs w:val="24"/>
          <w:lang w:val="es-419"/>
        </w:rPr>
      </w:pPr>
      <w:r w:rsidRPr="00BE3538">
        <w:rPr>
          <w:rFonts w:ascii="Calibri Light" w:hAnsi="Calibri Light" w:cs="TimesNewRomanPS-BoldMT"/>
          <w:b/>
          <w:bCs/>
          <w:sz w:val="24"/>
          <w:szCs w:val="24"/>
          <w:lang w:val="es-419"/>
        </w:rPr>
        <w:t>FORMA FARMACÉUTICA:</w:t>
      </w:r>
    </w:p>
    <w:p w14:paraId="4C98A135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TimesNewRomanPSMT"/>
          <w:sz w:val="24"/>
          <w:szCs w:val="24"/>
          <w:lang w:val="es-419"/>
        </w:rPr>
        <w:t>Polvo para concentrado para solución para perfusión.</w:t>
      </w:r>
    </w:p>
    <w:p w14:paraId="166D476C" w14:textId="77777777" w:rsidR="00747E52" w:rsidRPr="00BE3538" w:rsidRDefault="00747E52" w:rsidP="00747E52">
      <w:pPr>
        <w:jc w:val="both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TimesNewRomanPSMT"/>
          <w:sz w:val="24"/>
          <w:szCs w:val="24"/>
          <w:lang w:val="es-419"/>
        </w:rPr>
        <w:t>Polvo de color blanco a blanquecino.</w:t>
      </w:r>
    </w:p>
    <w:p w14:paraId="7959B38D" w14:textId="77777777" w:rsidR="00747E52" w:rsidRPr="00747E52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-BoldMT"/>
          <w:b/>
          <w:bCs/>
          <w:sz w:val="24"/>
          <w:szCs w:val="24"/>
        </w:rPr>
      </w:pPr>
      <w:r w:rsidRPr="00BE3538">
        <w:rPr>
          <w:rFonts w:ascii="Calibri Light" w:hAnsi="Calibri Light" w:cs="TimesNewRomanPS-BoldMT"/>
          <w:b/>
          <w:bCs/>
          <w:sz w:val="24"/>
          <w:szCs w:val="24"/>
          <w:lang w:val="es-419"/>
        </w:rPr>
        <w:t>Indicaciones terapéuticas</w:t>
      </w:r>
      <w:r w:rsidRPr="00747E52">
        <w:rPr>
          <w:rFonts w:ascii="Calibri Light" w:hAnsi="Calibri Light" w:cs="TimesNewRomanPS-BoldMT"/>
          <w:b/>
          <w:bCs/>
          <w:sz w:val="24"/>
          <w:szCs w:val="24"/>
        </w:rPr>
        <w:t xml:space="preserve">: </w:t>
      </w:r>
    </w:p>
    <w:p w14:paraId="014A26B5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-ItalicMT"/>
          <w:i/>
          <w:iCs/>
          <w:sz w:val="24"/>
          <w:szCs w:val="24"/>
          <w:lang w:val="es-419"/>
        </w:rPr>
      </w:pPr>
      <w:r w:rsidRPr="00BE3538">
        <w:rPr>
          <w:rFonts w:ascii="Calibri Light" w:hAnsi="Calibri Light" w:cs="TimesNewRomanPS-ItalicMT"/>
          <w:i/>
          <w:iCs/>
          <w:sz w:val="24"/>
          <w:szCs w:val="24"/>
          <w:lang w:val="es-419"/>
        </w:rPr>
        <w:t>Tratamiento</w:t>
      </w:r>
    </w:p>
    <w:p w14:paraId="14BB923F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TimesNewRomanPSMT"/>
          <w:sz w:val="24"/>
          <w:szCs w:val="24"/>
          <w:lang w:val="es-419"/>
        </w:rPr>
        <w:t xml:space="preserve">Está indicado en pacientes pediátricos (de 3 meses a 17 </w:t>
      </w:r>
      <w:proofErr w:type="gramStart"/>
      <w:r w:rsidRPr="00BE3538">
        <w:rPr>
          <w:rFonts w:ascii="Calibri Light" w:hAnsi="Calibri Light" w:cs="TimesNewRomanPSMT"/>
          <w:sz w:val="24"/>
          <w:szCs w:val="24"/>
          <w:lang w:val="es-419"/>
        </w:rPr>
        <w:t>años de edad</w:t>
      </w:r>
      <w:proofErr w:type="gramEnd"/>
      <w:r w:rsidRPr="00BE3538">
        <w:rPr>
          <w:rFonts w:ascii="Calibri Light" w:hAnsi="Calibri Light" w:cs="TimesNewRomanPSMT"/>
          <w:sz w:val="24"/>
          <w:szCs w:val="24"/>
          <w:lang w:val="es-419"/>
        </w:rPr>
        <w:t>) y en adultos para el tratamiento de las siguientes infecciones cuando son causadas por bacterias sensibles o muy</w:t>
      </w:r>
    </w:p>
    <w:p w14:paraId="7AE63FF8" w14:textId="0DC0F2BD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TimesNewRomanPSMT"/>
          <w:sz w:val="24"/>
          <w:szCs w:val="24"/>
          <w:lang w:val="es-419"/>
        </w:rPr>
        <w:t xml:space="preserve">Probablemente sensibles a </w:t>
      </w:r>
      <w:proofErr w:type="spellStart"/>
      <w:r>
        <w:rPr>
          <w:rFonts w:ascii="Calibri Light" w:hAnsi="Calibri Light" w:cs="TimesNewRomanPSMT"/>
          <w:sz w:val="24"/>
          <w:szCs w:val="24"/>
          <w:lang w:val="es-419"/>
        </w:rPr>
        <w:t>Ertapenem</w:t>
      </w:r>
      <w:proofErr w:type="spellEnd"/>
      <w:r w:rsidRPr="00BE3538">
        <w:rPr>
          <w:rFonts w:ascii="Calibri Light" w:hAnsi="Calibri Light" w:cs="TimesNewRomanPSMT"/>
          <w:sz w:val="24"/>
          <w:szCs w:val="24"/>
          <w:lang w:val="es-419"/>
        </w:rPr>
        <w:t xml:space="preserve"> y cuando se requiere tratamiento parenteral:</w:t>
      </w:r>
    </w:p>
    <w:p w14:paraId="6E310490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SymbolMT"/>
          <w:sz w:val="24"/>
          <w:szCs w:val="24"/>
          <w:lang w:val="es-419"/>
        </w:rPr>
        <w:t xml:space="preserve">• </w:t>
      </w:r>
      <w:r w:rsidRPr="00BE3538">
        <w:rPr>
          <w:rFonts w:ascii="Calibri Light" w:hAnsi="Calibri Light" w:cs="TimesNewRomanPSMT"/>
          <w:sz w:val="24"/>
          <w:szCs w:val="24"/>
          <w:lang w:val="es-419"/>
        </w:rPr>
        <w:t>Infecciones intraabdominales</w:t>
      </w:r>
    </w:p>
    <w:p w14:paraId="69890D75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SymbolMT"/>
          <w:sz w:val="24"/>
          <w:szCs w:val="24"/>
          <w:lang w:val="es-419"/>
        </w:rPr>
        <w:t xml:space="preserve">• </w:t>
      </w:r>
      <w:r w:rsidRPr="00BE3538">
        <w:rPr>
          <w:rFonts w:ascii="Calibri Light" w:hAnsi="Calibri Light" w:cs="TimesNewRomanPSMT"/>
          <w:sz w:val="24"/>
          <w:szCs w:val="24"/>
          <w:lang w:val="es-419"/>
        </w:rPr>
        <w:t>Neumonía adquirida en la comunidad</w:t>
      </w:r>
    </w:p>
    <w:p w14:paraId="49D6392A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SymbolMT"/>
          <w:sz w:val="24"/>
          <w:szCs w:val="24"/>
          <w:lang w:val="es-419"/>
        </w:rPr>
        <w:t xml:space="preserve">• </w:t>
      </w:r>
      <w:r w:rsidRPr="00BE3538">
        <w:rPr>
          <w:rFonts w:ascii="Calibri Light" w:hAnsi="Calibri Light" w:cs="TimesNewRomanPSMT"/>
          <w:sz w:val="24"/>
          <w:szCs w:val="24"/>
          <w:lang w:val="es-419"/>
        </w:rPr>
        <w:t>Infecciones ginecológicas agudas</w:t>
      </w:r>
    </w:p>
    <w:p w14:paraId="3A5BDD2B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SymbolMT"/>
          <w:sz w:val="24"/>
          <w:szCs w:val="24"/>
          <w:lang w:val="es-419"/>
        </w:rPr>
        <w:t xml:space="preserve">• </w:t>
      </w:r>
      <w:r w:rsidRPr="00BE3538">
        <w:rPr>
          <w:rFonts w:ascii="Calibri Light" w:hAnsi="Calibri Light" w:cs="TimesNewRomanPSMT"/>
          <w:sz w:val="24"/>
          <w:szCs w:val="24"/>
          <w:lang w:val="es-419"/>
        </w:rPr>
        <w:t>Infecciones de pie diabético que afectan a la piel y tejidos blandos.</w:t>
      </w:r>
    </w:p>
    <w:p w14:paraId="71409D73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TimesNewRomanPS-ItalicMT"/>
          <w:i/>
          <w:iCs/>
          <w:sz w:val="24"/>
          <w:szCs w:val="24"/>
          <w:lang w:val="es-419"/>
        </w:rPr>
        <w:t xml:space="preserve">Prevención: </w:t>
      </w:r>
      <w:r w:rsidRPr="00BE3538">
        <w:rPr>
          <w:rFonts w:ascii="Calibri Light" w:hAnsi="Calibri Light" w:cs="TimesNewRomanPSMT"/>
          <w:sz w:val="24"/>
          <w:szCs w:val="24"/>
          <w:lang w:val="es-419"/>
        </w:rPr>
        <w:t>Está indicado en adultos para la profilaxis de infecciones de la herida quirúrgica después de</w:t>
      </w:r>
      <w:r w:rsidRPr="00BE3538">
        <w:rPr>
          <w:rFonts w:ascii="Calibri Light" w:hAnsi="Calibri Light" w:cs="TimesNewRomanPS-ItalicMT"/>
          <w:i/>
          <w:iCs/>
          <w:sz w:val="24"/>
          <w:szCs w:val="24"/>
          <w:lang w:val="es-419"/>
        </w:rPr>
        <w:t xml:space="preserve"> </w:t>
      </w:r>
      <w:r w:rsidRPr="00BE3538">
        <w:rPr>
          <w:rFonts w:ascii="Calibri Light" w:hAnsi="Calibri Light" w:cs="TimesNewRomanPSMT"/>
          <w:sz w:val="24"/>
          <w:szCs w:val="24"/>
          <w:lang w:val="es-419"/>
        </w:rPr>
        <w:t>cirugía colorrectal programada.</w:t>
      </w:r>
    </w:p>
    <w:p w14:paraId="56E53505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</w:p>
    <w:p w14:paraId="322FDE8E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-BoldMT"/>
          <w:b/>
          <w:bCs/>
          <w:sz w:val="24"/>
          <w:szCs w:val="24"/>
          <w:lang w:val="es-419"/>
        </w:rPr>
      </w:pPr>
      <w:r w:rsidRPr="00BE3538">
        <w:rPr>
          <w:rFonts w:ascii="Calibri Light" w:hAnsi="Calibri Light" w:cs="TimesNewRomanPS-BoldMT"/>
          <w:b/>
          <w:bCs/>
          <w:sz w:val="24"/>
          <w:szCs w:val="24"/>
          <w:lang w:val="es-419"/>
        </w:rPr>
        <w:t>Naturaleza y contenido del envase:</w:t>
      </w:r>
    </w:p>
    <w:p w14:paraId="7179A9FA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TimesNewRomanPSMT"/>
          <w:sz w:val="24"/>
          <w:szCs w:val="24"/>
          <w:lang w:val="es-419"/>
        </w:rPr>
        <w:lastRenderedPageBreak/>
        <w:t>Viales de vidrio tipo I de 15 ml con tapón gris de butilo y tapa de plástico blanca sobre un precinto de aluminio coloreado.</w:t>
      </w:r>
    </w:p>
    <w:p w14:paraId="637AC518" w14:textId="77777777" w:rsidR="00747E52" w:rsidRPr="00BE3538" w:rsidRDefault="00747E52" w:rsidP="00747E52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</w:p>
    <w:p w14:paraId="11400BC8" w14:textId="4C123A5D" w:rsidR="00FA5759" w:rsidRPr="009721CB" w:rsidRDefault="00747E52" w:rsidP="009721CB">
      <w:pPr>
        <w:autoSpaceDE w:val="0"/>
        <w:autoSpaceDN w:val="0"/>
        <w:adjustRightInd w:val="0"/>
        <w:spacing w:after="0" w:line="240" w:lineRule="auto"/>
        <w:rPr>
          <w:rFonts w:ascii="Calibri Light" w:hAnsi="Calibri Light" w:cs="TimesNewRomanPSMT"/>
          <w:sz w:val="24"/>
          <w:szCs w:val="24"/>
          <w:lang w:val="es-419"/>
        </w:rPr>
      </w:pPr>
      <w:r w:rsidRPr="00BE3538">
        <w:rPr>
          <w:rFonts w:ascii="Calibri Light" w:hAnsi="Calibri Light" w:cs="TimesNewRomanPSMT"/>
          <w:sz w:val="24"/>
          <w:szCs w:val="24"/>
          <w:lang w:val="es-419"/>
        </w:rPr>
        <w:t>Suministrado en envases de 1 vial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1D2038F8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747E52">
        <w:rPr>
          <w:rFonts w:cstheme="minorHAnsi"/>
          <w:bCs/>
          <w:sz w:val="24"/>
          <w:szCs w:val="24"/>
          <w:lang w:val="es-ES"/>
        </w:rPr>
        <w:t>CECANOT-DAF-CM-2020-01</w:t>
      </w:r>
      <w:r w:rsidR="00747E52" w:rsidRPr="00747E52">
        <w:rPr>
          <w:rFonts w:cstheme="minorHAnsi"/>
          <w:bCs/>
          <w:sz w:val="24"/>
          <w:szCs w:val="24"/>
          <w:lang w:val="es-ES"/>
        </w:rPr>
        <w:t>81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25160835" w:rsidR="00764415" w:rsidRPr="00764415" w:rsidRDefault="001001F1" w:rsidP="00764415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</w:t>
      </w:r>
      <w:r w:rsidRPr="00747E52">
        <w:rPr>
          <w:rFonts w:cstheme="minorHAnsi"/>
          <w:bCs/>
          <w:sz w:val="24"/>
          <w:szCs w:val="24"/>
          <w:lang w:val="es-ES"/>
        </w:rPr>
        <w:t xml:space="preserve">el </w:t>
      </w:r>
      <w:r w:rsidR="009449DA">
        <w:rPr>
          <w:rFonts w:cstheme="minorHAnsi"/>
          <w:bCs/>
          <w:sz w:val="24"/>
          <w:szCs w:val="24"/>
          <w:lang w:val="es-ES"/>
        </w:rPr>
        <w:t xml:space="preserve">miércoles </w:t>
      </w:r>
      <w:r w:rsidR="00764415" w:rsidRPr="00747E52">
        <w:rPr>
          <w:rFonts w:cstheme="minorHAnsi"/>
          <w:bCs/>
          <w:sz w:val="24"/>
          <w:szCs w:val="24"/>
          <w:lang w:val="es-ES"/>
        </w:rPr>
        <w:t>2</w:t>
      </w:r>
      <w:r w:rsidR="009449DA">
        <w:rPr>
          <w:rFonts w:cstheme="minorHAnsi"/>
          <w:bCs/>
          <w:sz w:val="24"/>
          <w:szCs w:val="24"/>
          <w:lang w:val="es-ES"/>
        </w:rPr>
        <w:t>8</w:t>
      </w:r>
      <w:r w:rsidRPr="00747E52">
        <w:rPr>
          <w:rFonts w:cstheme="minorHAnsi"/>
          <w:bCs/>
          <w:sz w:val="24"/>
          <w:szCs w:val="24"/>
          <w:lang w:val="es-ES"/>
        </w:rPr>
        <w:t>/</w:t>
      </w:r>
      <w:r w:rsidR="00764415" w:rsidRPr="00747E52">
        <w:rPr>
          <w:rFonts w:cstheme="minorHAnsi"/>
          <w:bCs/>
          <w:sz w:val="24"/>
          <w:szCs w:val="24"/>
          <w:lang w:val="es-ES"/>
        </w:rPr>
        <w:t>10</w:t>
      </w:r>
      <w:r w:rsidRPr="00747E52">
        <w:rPr>
          <w:rFonts w:cstheme="minorHAnsi"/>
          <w:bCs/>
          <w:sz w:val="24"/>
          <w:szCs w:val="24"/>
          <w:lang w:val="es-ES"/>
        </w:rPr>
        <w:t>/2020</w:t>
      </w:r>
      <w:r w:rsidRPr="001001F1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 xml:space="preserve">0 am hasta las 12:00 pm. Los oferentes que no envíen </w:t>
      </w:r>
      <w:proofErr w:type="gramStart"/>
      <w:r w:rsidRPr="001001F1">
        <w:rPr>
          <w:rFonts w:cstheme="minorHAnsi"/>
          <w:bCs/>
          <w:sz w:val="24"/>
          <w:szCs w:val="24"/>
          <w:lang w:val="es-ES"/>
        </w:rPr>
        <w:t>muestra</w:t>
      </w:r>
      <w:proofErr w:type="gramEnd"/>
      <w:r w:rsidRPr="001001F1">
        <w:rPr>
          <w:rFonts w:cstheme="minorHAnsi"/>
          <w:bCs/>
          <w:sz w:val="24"/>
          <w:szCs w:val="24"/>
          <w:lang w:val="es-ES"/>
        </w:rPr>
        <w:t xml:space="preserve">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77777777" w:rsid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2E15DC85" w14:textId="77777777" w:rsidR="00764415" w:rsidRPr="001001F1" w:rsidRDefault="00764415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4892079A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77777777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90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1A22A5FC" w:rsidR="00B02E3C" w:rsidRDefault="00747E52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 xml:space="preserve">   </w:t>
      </w:r>
      <w:r w:rsidR="00B02E3C"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32B578C2" w14:textId="63A89DAA" w:rsidR="007D14B7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lastRenderedPageBreak/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6C2EB8E0" w:rsidR="00A65ED6" w:rsidRPr="007D14B7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  <w:highlight w:val="yellow"/>
        </w:rPr>
      </w:pPr>
      <w:r w:rsidRPr="000E232B">
        <w:rPr>
          <w:b/>
          <w:bCs/>
        </w:rPr>
        <w:t>Dirección</w:t>
      </w:r>
      <w:bookmarkEnd w:id="0"/>
      <w:bookmarkEnd w:id="1"/>
      <w:bookmarkEnd w:id="2"/>
      <w:r w:rsidR="00176186" w:rsidRPr="000E232B">
        <w:rPr>
          <w:b/>
          <w:bCs/>
        </w:rPr>
        <w:t xml:space="preserve"> de correo electrónic</w:t>
      </w:r>
      <w:r w:rsidR="00176186" w:rsidRPr="00747E52">
        <w:rPr>
          <w:b/>
          <w:bCs/>
        </w:rPr>
        <w:t xml:space="preserve">o: </w:t>
      </w:r>
      <w:hyperlink r:id="rId9" w:history="1">
        <w:r w:rsidR="00747E52" w:rsidRPr="00747E52">
          <w:rPr>
            <w:rStyle w:val="Hipervnculo"/>
            <w:rFonts w:cstheme="minorHAnsi"/>
            <w:b/>
            <w:bCs/>
            <w:sz w:val="24"/>
            <w:szCs w:val="24"/>
          </w:rPr>
          <w:t>alida.contreras@cecanot.com.do</w:t>
        </w:r>
      </w:hyperlink>
    </w:p>
    <w:p w14:paraId="627F6E55" w14:textId="39E48C67" w:rsidR="00764415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747E52" w:rsidRDefault="00361598" w:rsidP="000E232B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lastRenderedPageBreak/>
        <w:t xml:space="preserve"> </w:t>
      </w:r>
      <w:bookmarkEnd w:id="3"/>
      <w:bookmarkEnd w:id="4"/>
      <w:bookmarkEnd w:id="5"/>
      <w:r w:rsidR="004042AE" w:rsidRPr="00747E52">
        <w:rPr>
          <w:rStyle w:val="Style6"/>
          <w:b/>
        </w:rPr>
        <w:t>C</w:t>
      </w:r>
      <w:r w:rsidR="000E232B" w:rsidRPr="00747E52">
        <w:rPr>
          <w:rStyle w:val="Style6"/>
          <w:b/>
        </w:rPr>
        <w:t>ronograma de actividades</w:t>
      </w:r>
    </w:p>
    <w:p w14:paraId="6EA40EB6" w14:textId="50220759" w:rsidR="000E232B" w:rsidRDefault="00CF05D6" w:rsidP="00CF05D6">
      <w:pPr>
        <w:spacing w:line="240" w:lineRule="auto"/>
        <w:rPr>
          <w:lang w:val="es-ES" w:eastAsia="es-ES"/>
        </w:rPr>
      </w:pPr>
      <w:r>
        <w:rPr>
          <w:lang w:val="es-ES" w:eastAsia="es-ES"/>
        </w:rPr>
        <w:br w:type="textWrapping" w:clear="all"/>
      </w:r>
      <w:r w:rsidR="009449DA">
        <w:rPr>
          <w:noProof/>
        </w:rPr>
        <w:drawing>
          <wp:inline distT="0" distB="0" distL="0" distR="0" wp14:anchorId="4BA6DFF5" wp14:editId="59A865EA">
            <wp:extent cx="5943600" cy="33432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2792E" w14:textId="77777777" w:rsidR="00B756BF" w:rsidRDefault="00B756BF" w:rsidP="00C06B3D">
      <w:pPr>
        <w:spacing w:after="0" w:line="240" w:lineRule="auto"/>
      </w:pPr>
      <w:r>
        <w:separator/>
      </w:r>
    </w:p>
  </w:endnote>
  <w:endnote w:type="continuationSeparator" w:id="0">
    <w:p w14:paraId="4016EC55" w14:textId="77777777" w:rsidR="00B756BF" w:rsidRDefault="00B756BF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91D9C" w14:textId="77777777" w:rsidR="00B756BF" w:rsidRDefault="00B756BF" w:rsidP="00C06B3D">
      <w:pPr>
        <w:spacing w:after="0" w:line="240" w:lineRule="auto"/>
      </w:pPr>
      <w:r>
        <w:separator/>
      </w:r>
    </w:p>
  </w:footnote>
  <w:footnote w:type="continuationSeparator" w:id="0">
    <w:p w14:paraId="1DC5BD55" w14:textId="77777777" w:rsidR="00B756BF" w:rsidRDefault="00B756BF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6190A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1477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C71B5"/>
    <w:rsid w:val="006D19C1"/>
    <w:rsid w:val="007009AD"/>
    <w:rsid w:val="00712A89"/>
    <w:rsid w:val="00714D26"/>
    <w:rsid w:val="00720B7A"/>
    <w:rsid w:val="00744EC9"/>
    <w:rsid w:val="00747E52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8F103B"/>
    <w:rsid w:val="009006C5"/>
    <w:rsid w:val="00912DEB"/>
    <w:rsid w:val="00917106"/>
    <w:rsid w:val="009200EA"/>
    <w:rsid w:val="0092028E"/>
    <w:rsid w:val="00924EA6"/>
    <w:rsid w:val="0094150E"/>
    <w:rsid w:val="00944774"/>
    <w:rsid w:val="009449DA"/>
    <w:rsid w:val="00952B18"/>
    <w:rsid w:val="009721CB"/>
    <w:rsid w:val="009762DF"/>
    <w:rsid w:val="009C0EB1"/>
    <w:rsid w:val="009C37F2"/>
    <w:rsid w:val="009D63AF"/>
    <w:rsid w:val="009E1DC4"/>
    <w:rsid w:val="00A1333A"/>
    <w:rsid w:val="00A2595F"/>
    <w:rsid w:val="00A353CE"/>
    <w:rsid w:val="00A40C23"/>
    <w:rsid w:val="00A42565"/>
    <w:rsid w:val="00A61430"/>
    <w:rsid w:val="00A65ED6"/>
    <w:rsid w:val="00A90C85"/>
    <w:rsid w:val="00A914E7"/>
    <w:rsid w:val="00A975D9"/>
    <w:rsid w:val="00AB28CE"/>
    <w:rsid w:val="00AB735C"/>
    <w:rsid w:val="00AC7EC5"/>
    <w:rsid w:val="00AD5F60"/>
    <w:rsid w:val="00AF512B"/>
    <w:rsid w:val="00B02E3C"/>
    <w:rsid w:val="00B04616"/>
    <w:rsid w:val="00B17F4E"/>
    <w:rsid w:val="00B2160B"/>
    <w:rsid w:val="00B51023"/>
    <w:rsid w:val="00B6721A"/>
    <w:rsid w:val="00B756BF"/>
    <w:rsid w:val="00BA0BC9"/>
    <w:rsid w:val="00BB77F3"/>
    <w:rsid w:val="00BD074B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05D6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alida.contreras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FB901-9F0D-4CF5-8981-A5366AB0C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1081</Words>
  <Characters>5950</Characters>
  <Application>Microsoft Office Word</Application>
  <DocSecurity>0</DocSecurity>
  <Lines>49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Alida Contreras</cp:lastModifiedBy>
  <cp:revision>2</cp:revision>
  <cp:lastPrinted>2020-10-21T18:40:00Z</cp:lastPrinted>
  <dcterms:created xsi:type="dcterms:W3CDTF">2020-11-06T14:58:00Z</dcterms:created>
  <dcterms:modified xsi:type="dcterms:W3CDTF">2020-11-06T14:58:00Z</dcterms:modified>
</cp:coreProperties>
</file>